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1769"/>
        <w:gridCol w:w="3770"/>
      </w:tblGrid>
      <w:tr w:rsidR="00456505" w:rsidRPr="00924CDB" w14:paraId="158C5B38" w14:textId="77777777" w:rsidTr="00A55FE8">
        <w:tc>
          <w:tcPr>
            <w:tcW w:w="3936" w:type="dxa"/>
          </w:tcPr>
          <w:p w14:paraId="5CDF569E" w14:textId="77777777" w:rsidR="00456505" w:rsidRPr="00456505" w:rsidRDefault="00456505" w:rsidP="00A55FE8">
            <w:pPr>
              <w:rPr>
                <w:lang w:val="en-US"/>
              </w:rPr>
            </w:pPr>
            <w:r w:rsidRPr="00456505">
              <w:rPr>
                <w:noProof/>
              </w:rPr>
              <w:drawing>
                <wp:inline distT="0" distB="0" distL="0" distR="0" wp14:anchorId="4494282B" wp14:editId="02D5D5A3">
                  <wp:extent cx="2141220" cy="1778984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ТЭП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648" cy="178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0ADF3C" w14:textId="77777777" w:rsidR="00456505" w:rsidRPr="00456505" w:rsidRDefault="00456505" w:rsidP="00A55FE8">
            <w:pPr>
              <w:rPr>
                <w:sz w:val="28"/>
                <w:szCs w:val="28"/>
              </w:rPr>
            </w:pPr>
            <w:r w:rsidRPr="00456505">
              <w:rPr>
                <w:sz w:val="28"/>
                <w:szCs w:val="28"/>
              </w:rPr>
              <w:t>ОГРН 1155200000273</w:t>
            </w:r>
          </w:p>
        </w:tc>
        <w:tc>
          <w:tcPr>
            <w:tcW w:w="2126" w:type="dxa"/>
          </w:tcPr>
          <w:p w14:paraId="5F22F9F4" w14:textId="77777777" w:rsidR="00456505" w:rsidRPr="00456505" w:rsidRDefault="00456505" w:rsidP="00A55FE8"/>
        </w:tc>
        <w:tc>
          <w:tcPr>
            <w:tcW w:w="4217" w:type="dxa"/>
          </w:tcPr>
          <w:p w14:paraId="5BDBFAE7" w14:textId="77777777" w:rsidR="00456505" w:rsidRPr="00456505" w:rsidRDefault="00456505" w:rsidP="00A55FE8">
            <w:pPr>
              <w:jc w:val="center"/>
              <w:rPr>
                <w:sz w:val="28"/>
                <w:szCs w:val="28"/>
              </w:rPr>
            </w:pPr>
            <w:r w:rsidRPr="00456505">
              <w:rPr>
                <w:sz w:val="28"/>
                <w:szCs w:val="28"/>
              </w:rPr>
              <w:t>УТВЕРЖДЕНО</w:t>
            </w:r>
          </w:p>
          <w:p w14:paraId="21355406" w14:textId="77777777" w:rsidR="00456505" w:rsidRPr="00456505" w:rsidRDefault="00456505" w:rsidP="00A55FE8">
            <w:pPr>
              <w:jc w:val="center"/>
              <w:rPr>
                <w:sz w:val="28"/>
                <w:szCs w:val="28"/>
              </w:rPr>
            </w:pPr>
            <w:r w:rsidRPr="00456505">
              <w:rPr>
                <w:sz w:val="28"/>
                <w:szCs w:val="28"/>
              </w:rPr>
              <w:t>Протоколом общего собрания СТЭП</w:t>
            </w:r>
          </w:p>
          <w:p w14:paraId="15E5376F" w14:textId="216C8BB2" w:rsidR="00456505" w:rsidRPr="00456505" w:rsidRDefault="00456505" w:rsidP="00A55FE8">
            <w:pPr>
              <w:jc w:val="center"/>
              <w:rPr>
                <w:sz w:val="28"/>
                <w:szCs w:val="28"/>
              </w:rPr>
            </w:pPr>
            <w:r w:rsidRPr="00456505">
              <w:rPr>
                <w:sz w:val="28"/>
                <w:szCs w:val="28"/>
              </w:rPr>
              <w:t xml:space="preserve">от </w:t>
            </w:r>
            <w:r w:rsidR="007E5404" w:rsidRPr="007E5404">
              <w:rPr>
                <w:sz w:val="24"/>
                <w:szCs w:val="24"/>
              </w:rPr>
              <w:t>06</w:t>
            </w:r>
            <w:r w:rsidR="007E5404">
              <w:t xml:space="preserve"> </w:t>
            </w:r>
            <w:r w:rsidR="007E5404">
              <w:rPr>
                <w:sz w:val="28"/>
                <w:szCs w:val="28"/>
              </w:rPr>
              <w:t>о</w:t>
            </w:r>
            <w:r w:rsidR="007E5404">
              <w:t>ктября</w:t>
            </w:r>
            <w:r w:rsidRPr="00456505">
              <w:rPr>
                <w:sz w:val="28"/>
                <w:szCs w:val="28"/>
              </w:rPr>
              <w:t xml:space="preserve"> 201</w:t>
            </w:r>
            <w:r w:rsidR="007E5404">
              <w:rPr>
                <w:sz w:val="28"/>
                <w:szCs w:val="28"/>
              </w:rPr>
              <w:t>6</w:t>
            </w:r>
            <w:r w:rsidRPr="00456505">
              <w:rPr>
                <w:sz w:val="28"/>
                <w:szCs w:val="28"/>
              </w:rPr>
              <w:t xml:space="preserve"> года</w:t>
            </w:r>
          </w:p>
        </w:tc>
      </w:tr>
    </w:tbl>
    <w:p w14:paraId="71CFBFCE" w14:textId="77777777" w:rsidR="00456505" w:rsidRDefault="00456505" w:rsidP="00456505">
      <w:pPr>
        <w:pStyle w:val="1"/>
        <w:spacing w:line="240" w:lineRule="auto"/>
        <w:ind w:firstLine="0"/>
        <w:jc w:val="center"/>
        <w:rPr>
          <w:rStyle w:val="a3"/>
          <w:b/>
          <w:bCs/>
        </w:rPr>
      </w:pPr>
    </w:p>
    <w:p w14:paraId="382D22EB" w14:textId="77777777" w:rsidR="00456505" w:rsidRDefault="00456505" w:rsidP="00456505">
      <w:pPr>
        <w:pStyle w:val="1"/>
        <w:spacing w:line="240" w:lineRule="auto"/>
        <w:ind w:firstLine="0"/>
        <w:jc w:val="center"/>
        <w:rPr>
          <w:rStyle w:val="a3"/>
          <w:b/>
          <w:bCs/>
        </w:rPr>
      </w:pPr>
    </w:p>
    <w:p w14:paraId="67FFBAC8" w14:textId="77777777" w:rsidR="00456505" w:rsidRDefault="00456505" w:rsidP="00456505">
      <w:pPr>
        <w:pStyle w:val="1"/>
        <w:spacing w:line="240" w:lineRule="auto"/>
        <w:ind w:firstLine="0"/>
        <w:jc w:val="center"/>
        <w:rPr>
          <w:rStyle w:val="a3"/>
          <w:b/>
          <w:bCs/>
        </w:rPr>
      </w:pPr>
    </w:p>
    <w:p w14:paraId="10F7B6AA" w14:textId="77777777" w:rsidR="00456505" w:rsidRDefault="00456505" w:rsidP="00456505">
      <w:pPr>
        <w:pStyle w:val="1"/>
        <w:spacing w:line="240" w:lineRule="auto"/>
        <w:ind w:firstLine="0"/>
        <w:jc w:val="center"/>
        <w:rPr>
          <w:rStyle w:val="a3"/>
          <w:b/>
          <w:bCs/>
        </w:rPr>
      </w:pPr>
    </w:p>
    <w:p w14:paraId="1F1C7E61" w14:textId="77777777" w:rsidR="00456505" w:rsidRDefault="00456505" w:rsidP="00456505">
      <w:pPr>
        <w:pStyle w:val="1"/>
        <w:spacing w:line="240" w:lineRule="auto"/>
        <w:ind w:firstLine="0"/>
        <w:jc w:val="center"/>
        <w:rPr>
          <w:rStyle w:val="a3"/>
          <w:b/>
          <w:bCs/>
        </w:rPr>
      </w:pPr>
    </w:p>
    <w:p w14:paraId="78820AD4" w14:textId="77777777" w:rsidR="00456505" w:rsidRDefault="00456505" w:rsidP="00456505">
      <w:pPr>
        <w:pStyle w:val="1"/>
        <w:spacing w:line="240" w:lineRule="auto"/>
        <w:ind w:firstLine="0"/>
        <w:jc w:val="center"/>
        <w:rPr>
          <w:rStyle w:val="a3"/>
          <w:b/>
          <w:bCs/>
        </w:rPr>
      </w:pPr>
    </w:p>
    <w:p w14:paraId="34A2860F" w14:textId="77777777" w:rsidR="00456505" w:rsidRDefault="00456505" w:rsidP="00456505">
      <w:pPr>
        <w:pStyle w:val="1"/>
        <w:spacing w:line="240" w:lineRule="auto"/>
        <w:ind w:firstLine="0"/>
        <w:jc w:val="center"/>
        <w:rPr>
          <w:rStyle w:val="a3"/>
          <w:b/>
          <w:bCs/>
        </w:rPr>
      </w:pPr>
    </w:p>
    <w:p w14:paraId="78D8C7C8" w14:textId="77777777" w:rsidR="00456505" w:rsidRDefault="00456505" w:rsidP="00456505">
      <w:pPr>
        <w:pStyle w:val="1"/>
        <w:spacing w:line="240" w:lineRule="auto"/>
        <w:ind w:firstLine="0"/>
        <w:jc w:val="center"/>
        <w:rPr>
          <w:rStyle w:val="a3"/>
          <w:b/>
          <w:bCs/>
        </w:rPr>
      </w:pPr>
    </w:p>
    <w:p w14:paraId="41F2727F" w14:textId="77777777" w:rsidR="00456505" w:rsidRDefault="00456505" w:rsidP="00456505">
      <w:pPr>
        <w:pStyle w:val="1"/>
        <w:spacing w:line="240" w:lineRule="auto"/>
        <w:ind w:firstLine="0"/>
        <w:jc w:val="center"/>
        <w:rPr>
          <w:rStyle w:val="a3"/>
          <w:b/>
          <w:bCs/>
        </w:rPr>
      </w:pPr>
    </w:p>
    <w:p w14:paraId="064D9501" w14:textId="77777777" w:rsidR="00456505" w:rsidRDefault="00456505" w:rsidP="00456505">
      <w:pPr>
        <w:pStyle w:val="1"/>
        <w:spacing w:line="240" w:lineRule="auto"/>
        <w:ind w:firstLine="0"/>
        <w:jc w:val="center"/>
        <w:rPr>
          <w:rStyle w:val="a3"/>
          <w:b/>
          <w:bCs/>
        </w:rPr>
      </w:pPr>
    </w:p>
    <w:p w14:paraId="05FFF7B9" w14:textId="77777777" w:rsidR="007E5404" w:rsidRDefault="00FF2FC9" w:rsidP="007E5404">
      <w:pPr>
        <w:pStyle w:val="1"/>
        <w:jc w:val="center"/>
        <w:rPr>
          <w:rStyle w:val="a3"/>
          <w:b/>
          <w:bCs/>
        </w:rPr>
      </w:pPr>
      <w:r>
        <w:rPr>
          <w:rStyle w:val="a3"/>
          <w:b/>
          <w:bCs/>
        </w:rPr>
        <w:t xml:space="preserve">Положение о </w:t>
      </w:r>
    </w:p>
    <w:p w14:paraId="11DFA6E6" w14:textId="01D93CD9" w:rsidR="0093121C" w:rsidRDefault="007E5404" w:rsidP="007E5404">
      <w:pPr>
        <w:pStyle w:val="1"/>
        <w:jc w:val="center"/>
      </w:pPr>
      <w:r>
        <w:rPr>
          <w:rStyle w:val="a3"/>
          <w:b/>
          <w:bCs/>
        </w:rPr>
        <w:t>«</w:t>
      </w:r>
      <w:r w:rsidRPr="007E5404">
        <w:rPr>
          <w:rStyle w:val="a3"/>
          <w:b/>
          <w:bCs/>
        </w:rPr>
        <w:t>О членских взносах и о компенсационном фонде Союза Торговых</w:t>
      </w:r>
      <w:r>
        <w:rPr>
          <w:rStyle w:val="a3"/>
          <w:b/>
          <w:bCs/>
        </w:rPr>
        <w:t xml:space="preserve"> </w:t>
      </w:r>
      <w:r w:rsidRPr="007E5404">
        <w:rPr>
          <w:rStyle w:val="a3"/>
          <w:b/>
          <w:bCs/>
        </w:rPr>
        <w:t>Электронных Площадок</w:t>
      </w:r>
      <w:r>
        <w:rPr>
          <w:rStyle w:val="a3"/>
          <w:b/>
          <w:bCs/>
        </w:rPr>
        <w:t>»</w:t>
      </w:r>
    </w:p>
    <w:p w14:paraId="3982BD3B" w14:textId="77777777" w:rsidR="00456505" w:rsidRDefault="00456505">
      <w:pPr>
        <w:pStyle w:val="1"/>
        <w:spacing w:line="240" w:lineRule="auto"/>
        <w:ind w:firstLine="0"/>
        <w:jc w:val="center"/>
        <w:rPr>
          <w:rStyle w:val="a3"/>
          <w:b/>
          <w:bCs/>
        </w:rPr>
      </w:pPr>
    </w:p>
    <w:p w14:paraId="5BD550EF" w14:textId="77777777" w:rsidR="00456505" w:rsidRDefault="00456505">
      <w:pPr>
        <w:pStyle w:val="1"/>
        <w:spacing w:line="240" w:lineRule="auto"/>
        <w:ind w:firstLine="0"/>
        <w:jc w:val="center"/>
        <w:rPr>
          <w:rStyle w:val="a3"/>
          <w:b/>
          <w:bCs/>
        </w:rPr>
      </w:pPr>
    </w:p>
    <w:p w14:paraId="7ED4D84F" w14:textId="77777777" w:rsidR="00456505" w:rsidRDefault="00456505">
      <w:pPr>
        <w:pStyle w:val="1"/>
        <w:spacing w:line="240" w:lineRule="auto"/>
        <w:ind w:firstLine="0"/>
        <w:jc w:val="center"/>
        <w:rPr>
          <w:rStyle w:val="a3"/>
          <w:b/>
          <w:bCs/>
        </w:rPr>
      </w:pPr>
    </w:p>
    <w:p w14:paraId="536F6038" w14:textId="77777777" w:rsidR="00456505" w:rsidRDefault="00456505">
      <w:pPr>
        <w:pStyle w:val="1"/>
        <w:spacing w:line="240" w:lineRule="auto"/>
        <w:ind w:firstLine="0"/>
        <w:jc w:val="center"/>
        <w:rPr>
          <w:rStyle w:val="a3"/>
          <w:b/>
          <w:bCs/>
        </w:rPr>
      </w:pPr>
    </w:p>
    <w:p w14:paraId="76ECD040" w14:textId="6959EC87" w:rsidR="00456505" w:rsidRDefault="00456505">
      <w:pPr>
        <w:pStyle w:val="1"/>
        <w:spacing w:line="240" w:lineRule="auto"/>
        <w:ind w:firstLine="0"/>
        <w:jc w:val="center"/>
        <w:rPr>
          <w:rStyle w:val="a3"/>
          <w:b/>
          <w:bCs/>
        </w:rPr>
      </w:pPr>
    </w:p>
    <w:p w14:paraId="39D3D47B" w14:textId="0E8B3992" w:rsidR="00456505" w:rsidRDefault="00456505">
      <w:pPr>
        <w:pStyle w:val="1"/>
        <w:spacing w:line="240" w:lineRule="auto"/>
        <w:ind w:firstLine="0"/>
        <w:jc w:val="center"/>
        <w:rPr>
          <w:rStyle w:val="a3"/>
          <w:b/>
          <w:bCs/>
        </w:rPr>
      </w:pPr>
    </w:p>
    <w:p w14:paraId="0E2C4313" w14:textId="5315E9BF" w:rsidR="00456505" w:rsidRDefault="00456505">
      <w:pPr>
        <w:pStyle w:val="1"/>
        <w:spacing w:line="240" w:lineRule="auto"/>
        <w:ind w:firstLine="0"/>
        <w:jc w:val="center"/>
        <w:rPr>
          <w:rStyle w:val="a3"/>
          <w:b/>
          <w:bCs/>
        </w:rPr>
      </w:pPr>
    </w:p>
    <w:p w14:paraId="0AB526EC" w14:textId="62A2D9BD" w:rsidR="00456505" w:rsidRDefault="00456505">
      <w:pPr>
        <w:pStyle w:val="1"/>
        <w:spacing w:line="240" w:lineRule="auto"/>
        <w:ind w:firstLine="0"/>
        <w:jc w:val="center"/>
        <w:rPr>
          <w:rStyle w:val="a3"/>
          <w:b/>
          <w:bCs/>
        </w:rPr>
      </w:pPr>
    </w:p>
    <w:p w14:paraId="1C8815BB" w14:textId="2BB67A41" w:rsidR="00456505" w:rsidRDefault="00456505">
      <w:pPr>
        <w:pStyle w:val="1"/>
        <w:spacing w:line="240" w:lineRule="auto"/>
        <w:ind w:firstLine="0"/>
        <w:jc w:val="center"/>
        <w:rPr>
          <w:rStyle w:val="a3"/>
          <w:b/>
          <w:bCs/>
        </w:rPr>
      </w:pPr>
    </w:p>
    <w:p w14:paraId="127CE8DB" w14:textId="5CFDD9D8" w:rsidR="00456505" w:rsidRDefault="00456505">
      <w:pPr>
        <w:pStyle w:val="1"/>
        <w:spacing w:line="240" w:lineRule="auto"/>
        <w:ind w:firstLine="0"/>
        <w:jc w:val="center"/>
        <w:rPr>
          <w:rStyle w:val="a3"/>
          <w:b/>
          <w:bCs/>
        </w:rPr>
      </w:pPr>
    </w:p>
    <w:p w14:paraId="119B2DD4" w14:textId="0939E93F" w:rsidR="00456505" w:rsidRDefault="00456505">
      <w:pPr>
        <w:pStyle w:val="1"/>
        <w:spacing w:line="240" w:lineRule="auto"/>
        <w:ind w:firstLine="0"/>
        <w:jc w:val="center"/>
        <w:rPr>
          <w:rStyle w:val="a3"/>
          <w:b/>
          <w:bCs/>
        </w:rPr>
      </w:pPr>
    </w:p>
    <w:p w14:paraId="0DB5D774" w14:textId="14172E26" w:rsidR="00456505" w:rsidRDefault="00456505">
      <w:pPr>
        <w:pStyle w:val="1"/>
        <w:spacing w:line="240" w:lineRule="auto"/>
        <w:ind w:firstLine="0"/>
        <w:jc w:val="center"/>
        <w:rPr>
          <w:rStyle w:val="a3"/>
          <w:b/>
          <w:bCs/>
        </w:rPr>
      </w:pPr>
    </w:p>
    <w:p w14:paraId="58521356" w14:textId="5FBCB889" w:rsidR="00456505" w:rsidRDefault="00456505">
      <w:pPr>
        <w:pStyle w:val="1"/>
        <w:spacing w:line="240" w:lineRule="auto"/>
        <w:ind w:firstLine="0"/>
        <w:jc w:val="center"/>
        <w:rPr>
          <w:rStyle w:val="a3"/>
          <w:b/>
          <w:bCs/>
        </w:rPr>
      </w:pPr>
    </w:p>
    <w:p w14:paraId="660047FE" w14:textId="33D6CE84" w:rsidR="00456505" w:rsidRDefault="00456505">
      <w:pPr>
        <w:pStyle w:val="1"/>
        <w:spacing w:line="240" w:lineRule="auto"/>
        <w:ind w:firstLine="0"/>
        <w:jc w:val="center"/>
        <w:rPr>
          <w:rStyle w:val="a3"/>
          <w:b/>
          <w:bCs/>
        </w:rPr>
      </w:pPr>
    </w:p>
    <w:p w14:paraId="52BD5F5D" w14:textId="77777777" w:rsidR="00456505" w:rsidRDefault="00456505">
      <w:pPr>
        <w:pStyle w:val="1"/>
        <w:spacing w:line="240" w:lineRule="auto"/>
        <w:ind w:firstLine="0"/>
        <w:jc w:val="center"/>
        <w:rPr>
          <w:rStyle w:val="a3"/>
          <w:b/>
          <w:bCs/>
        </w:rPr>
      </w:pPr>
    </w:p>
    <w:p w14:paraId="301A3776" w14:textId="77777777" w:rsidR="00456505" w:rsidRDefault="00456505">
      <w:pPr>
        <w:pStyle w:val="1"/>
        <w:spacing w:line="240" w:lineRule="auto"/>
        <w:ind w:firstLine="0"/>
        <w:jc w:val="center"/>
        <w:rPr>
          <w:rStyle w:val="a3"/>
          <w:b/>
          <w:bCs/>
        </w:rPr>
      </w:pPr>
    </w:p>
    <w:p w14:paraId="2338641B" w14:textId="77777777" w:rsidR="00456505" w:rsidRDefault="00456505">
      <w:pPr>
        <w:pStyle w:val="1"/>
        <w:spacing w:line="240" w:lineRule="auto"/>
        <w:ind w:firstLine="0"/>
        <w:jc w:val="center"/>
        <w:rPr>
          <w:rStyle w:val="a3"/>
          <w:b/>
          <w:bCs/>
        </w:rPr>
      </w:pPr>
    </w:p>
    <w:p w14:paraId="517F2ABE" w14:textId="77777777" w:rsidR="00456505" w:rsidRDefault="00456505">
      <w:pPr>
        <w:pStyle w:val="1"/>
        <w:spacing w:line="240" w:lineRule="auto"/>
        <w:ind w:firstLine="0"/>
        <w:jc w:val="center"/>
        <w:rPr>
          <w:rStyle w:val="a3"/>
          <w:b/>
          <w:bCs/>
        </w:rPr>
      </w:pPr>
    </w:p>
    <w:p w14:paraId="51CEE198" w14:textId="77777777" w:rsidR="00456505" w:rsidRDefault="00456505">
      <w:pPr>
        <w:pStyle w:val="1"/>
        <w:spacing w:line="240" w:lineRule="auto"/>
        <w:ind w:firstLine="0"/>
        <w:jc w:val="center"/>
        <w:rPr>
          <w:rStyle w:val="a3"/>
          <w:b/>
          <w:bCs/>
        </w:rPr>
      </w:pPr>
    </w:p>
    <w:p w14:paraId="4C12718A" w14:textId="2786DC23" w:rsidR="0093121C" w:rsidRDefault="00456505">
      <w:pPr>
        <w:pStyle w:val="1"/>
        <w:spacing w:line="240" w:lineRule="auto"/>
        <w:ind w:firstLine="0"/>
        <w:jc w:val="center"/>
      </w:pPr>
      <w:r>
        <w:rPr>
          <w:rStyle w:val="a3"/>
          <w:b/>
          <w:bCs/>
        </w:rPr>
        <w:t>Нижний Новгород</w:t>
      </w:r>
      <w:r w:rsidR="00FF2FC9">
        <w:rPr>
          <w:rStyle w:val="a3"/>
          <w:b/>
          <w:bCs/>
        </w:rPr>
        <w:t>, 201</w:t>
      </w:r>
      <w:r>
        <w:rPr>
          <w:rStyle w:val="a3"/>
          <w:b/>
          <w:bCs/>
        </w:rPr>
        <w:t>5</w:t>
      </w:r>
      <w:r w:rsidR="00FF2FC9">
        <w:rPr>
          <w:rStyle w:val="a3"/>
          <w:b/>
          <w:bCs/>
        </w:rPr>
        <w:t xml:space="preserve"> г.</w:t>
      </w:r>
    </w:p>
    <w:p w14:paraId="7A9A8682" w14:textId="77777777" w:rsidR="0093121C" w:rsidRDefault="00FF2FC9">
      <w:pPr>
        <w:pStyle w:val="1"/>
        <w:numPr>
          <w:ilvl w:val="0"/>
          <w:numId w:val="1"/>
        </w:numPr>
        <w:tabs>
          <w:tab w:val="left" w:pos="322"/>
        </w:tabs>
        <w:spacing w:after="660" w:line="240" w:lineRule="auto"/>
        <w:ind w:firstLine="0"/>
        <w:jc w:val="center"/>
      </w:pPr>
      <w:r>
        <w:rPr>
          <w:rStyle w:val="a3"/>
          <w:b/>
          <w:bCs/>
        </w:rPr>
        <w:lastRenderedPageBreak/>
        <w:t>Общие положения</w:t>
      </w:r>
    </w:p>
    <w:p w14:paraId="15271F17" w14:textId="77777777" w:rsidR="0093121C" w:rsidRDefault="00FF2FC9">
      <w:pPr>
        <w:pStyle w:val="1"/>
        <w:numPr>
          <w:ilvl w:val="1"/>
          <w:numId w:val="1"/>
        </w:numPr>
        <w:tabs>
          <w:tab w:val="left" w:pos="1430"/>
        </w:tabs>
        <w:ind w:firstLine="720"/>
        <w:jc w:val="both"/>
      </w:pPr>
      <w:r>
        <w:rPr>
          <w:rStyle w:val="a3"/>
        </w:rPr>
        <w:t>Настоящее Положение разработано в соответствии с Федеральным законом № 127 ФЗ от 26.10.2002 г. «О несостоятельности (банкротстве)» (далее по тексту – Закон о банкротстве), Уставом и внутренними положениями Союза Операторов Электронных Площадок (далее по тексту - Союз) и определяет порядок формирования, размещения и расходования денежных средств компенсационного фонда Союза.</w:t>
      </w:r>
    </w:p>
    <w:p w14:paraId="18E0848F" w14:textId="77777777" w:rsidR="0093121C" w:rsidRDefault="00FF2FC9">
      <w:pPr>
        <w:pStyle w:val="1"/>
        <w:numPr>
          <w:ilvl w:val="1"/>
          <w:numId w:val="1"/>
        </w:numPr>
        <w:tabs>
          <w:tab w:val="left" w:pos="1430"/>
        </w:tabs>
        <w:ind w:firstLine="720"/>
        <w:jc w:val="both"/>
      </w:pPr>
      <w:r>
        <w:rPr>
          <w:rStyle w:val="a3"/>
        </w:rPr>
        <w:t>Компенсационный фонд - обособленное имущество, принадлежащее Союзу на праве собственности, образуется в целях финансового обеспечения ответственности членов Союза по возмещению убытков, причиненных при исполнении обязанностей операторов электронных площадок, и представляет собой денежные средства, аккумулируемые на специальном счете Союза в российских кредитных организациях.</w:t>
      </w:r>
    </w:p>
    <w:p w14:paraId="784A1532" w14:textId="77777777" w:rsidR="0093121C" w:rsidRDefault="00FF2FC9">
      <w:pPr>
        <w:pStyle w:val="1"/>
        <w:numPr>
          <w:ilvl w:val="1"/>
          <w:numId w:val="1"/>
        </w:numPr>
        <w:tabs>
          <w:tab w:val="left" w:pos="1430"/>
        </w:tabs>
        <w:ind w:firstLine="720"/>
        <w:jc w:val="both"/>
      </w:pPr>
      <w:r>
        <w:rPr>
          <w:rStyle w:val="a3"/>
        </w:rPr>
        <w:t>На средства компенсационного фонда не может быть обращено взыскание по обязательствам Союза, а также по обязательствам операторов электронных площадок, если возникновение таких обязательств не было связано с осуществлением деятельности, предусмотренной Законом о банкротстве.</w:t>
      </w:r>
    </w:p>
    <w:p w14:paraId="4D1C28A8" w14:textId="77777777" w:rsidR="0093121C" w:rsidRDefault="00FF2FC9">
      <w:pPr>
        <w:pStyle w:val="1"/>
        <w:numPr>
          <w:ilvl w:val="1"/>
          <w:numId w:val="1"/>
        </w:numPr>
        <w:tabs>
          <w:tab w:val="left" w:pos="1430"/>
        </w:tabs>
        <w:ind w:firstLine="720"/>
        <w:jc w:val="both"/>
      </w:pPr>
      <w:r>
        <w:rPr>
          <w:rStyle w:val="a3"/>
        </w:rPr>
        <w:t>Денежные средства компенсационного фонда расходуются исключительно на возмещение убытков, причиненных членами Союза, в связи с неисполнением или ненадлежащим исполнением ими обязанностей, возложенных на операторов электронных площадок Законом о банкротстве.</w:t>
      </w:r>
    </w:p>
    <w:p w14:paraId="4C509ADC" w14:textId="77777777" w:rsidR="0093121C" w:rsidRDefault="00FF2FC9">
      <w:pPr>
        <w:pStyle w:val="1"/>
        <w:numPr>
          <w:ilvl w:val="1"/>
          <w:numId w:val="1"/>
        </w:numPr>
        <w:tabs>
          <w:tab w:val="left" w:pos="1430"/>
        </w:tabs>
        <w:spacing w:line="382" w:lineRule="auto"/>
        <w:ind w:firstLine="720"/>
        <w:jc w:val="both"/>
      </w:pPr>
      <w:r>
        <w:rPr>
          <w:rStyle w:val="a3"/>
        </w:rPr>
        <w:t>На средства компенсационного фонда, находящиеся на специальном банковском счете Союза, не может быть обращено взыскание по обязательствам Союза, а также по обязательствам членов Союза, не</w:t>
      </w:r>
      <w:r>
        <w:br w:type="page"/>
      </w:r>
    </w:p>
    <w:p w14:paraId="4B51BDFE" w14:textId="77777777" w:rsidR="0093121C" w:rsidRDefault="00FF2FC9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12700" distL="0" distR="0" simplePos="0" relativeHeight="125829378" behindDoc="0" locked="0" layoutInCell="1" allowOverlap="1" wp14:anchorId="4E34859B" wp14:editId="4FF6703D">
                <wp:simplePos x="0" y="0"/>
                <wp:positionH relativeFrom="page">
                  <wp:posOffset>1063625</wp:posOffset>
                </wp:positionH>
                <wp:positionV relativeFrom="paragraph">
                  <wp:posOffset>0</wp:posOffset>
                </wp:positionV>
                <wp:extent cx="5132705" cy="24384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270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F7CF39" w14:textId="77777777" w:rsidR="0093121C" w:rsidRDefault="00FF2FC9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связанным с осуществлением компенсационных выплат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E34859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83.75pt;margin-top:0;width:404.15pt;height:19.2pt;z-index:125829378;visibility:visible;mso-wrap-style:none;mso-wrap-distance-left:0;mso-wrap-distance-top:0;mso-wrap-distance-right:0;mso-wrap-distance-bottom: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" filled="f" stroked="f">
                <v:textbox inset="0,0,0,0">
                  <w:txbxContent>
                    <w:p w14:paraId="44F7CF39" w14:textId="77777777" w:rsidR="0093121C" w:rsidRDefault="00FF2FC9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rPr>
                          <w:rStyle w:val="a3"/>
                        </w:rPr>
                        <w:t>связанным с осуществлением компенсационных выплат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2700" distL="0" distR="0" simplePos="0" relativeHeight="125829380" behindDoc="0" locked="0" layoutInCell="1" allowOverlap="1" wp14:anchorId="3C3CA156" wp14:editId="7D063D86">
                <wp:simplePos x="0" y="0"/>
                <wp:positionH relativeFrom="page">
                  <wp:posOffset>6419215</wp:posOffset>
                </wp:positionH>
                <wp:positionV relativeFrom="paragraph">
                  <wp:posOffset>0</wp:posOffset>
                </wp:positionV>
                <wp:extent cx="194945" cy="24384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4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EA2A1F" w14:textId="77777777" w:rsidR="0093121C" w:rsidRDefault="00FF2FC9">
                            <w:pPr>
                              <w:pStyle w:val="1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rStyle w:val="a3"/>
                              </w:rPr>
                              <w:t>из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3CA156" id="Shape 3" o:spid="_x0000_s1027" type="#_x0000_t202" style="position:absolute;margin-left:505.45pt;margin-top:0;width:15.35pt;height:19.2pt;z-index:125829380;visibility:visible;mso-wrap-style:none;mso-wrap-distance-left:0;mso-wrap-distance-top:0;mso-wrap-distance-right:0;mso-wrap-distance-bottom: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" filled="f" stroked="f">
                <v:textbox inset="0,0,0,0">
                  <w:txbxContent>
                    <w:p w14:paraId="29EA2A1F" w14:textId="77777777" w:rsidR="0093121C" w:rsidRDefault="00FF2FC9">
                      <w:pPr>
                        <w:pStyle w:val="1"/>
                        <w:spacing w:line="240" w:lineRule="auto"/>
                        <w:ind w:firstLine="0"/>
                        <w:jc w:val="center"/>
                      </w:pPr>
                      <w:r>
                        <w:rPr>
                          <w:rStyle w:val="a3"/>
                        </w:rPr>
                        <w:t>из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2700" distL="0" distR="0" simplePos="0" relativeHeight="125829382" behindDoc="0" locked="0" layoutInCell="1" allowOverlap="1" wp14:anchorId="73734359" wp14:editId="27EBAF56">
                <wp:simplePos x="0" y="0"/>
                <wp:positionH relativeFrom="page">
                  <wp:posOffset>6842760</wp:posOffset>
                </wp:positionH>
                <wp:positionV relativeFrom="paragraph">
                  <wp:posOffset>0</wp:posOffset>
                </wp:positionV>
                <wp:extent cx="182880" cy="24384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320D06" w14:textId="77777777" w:rsidR="0093121C" w:rsidRDefault="00FF2FC9">
                            <w:pPr>
                              <w:pStyle w:val="1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rStyle w:val="a3"/>
                              </w:rPr>
                              <w:t>ее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734359" id="Shape 5" o:spid="_x0000_s1028" type="#_x0000_t202" style="position:absolute;margin-left:538.8pt;margin-top:0;width:14.4pt;height:19.2pt;z-index:125829382;visibility:visible;mso-wrap-style:none;mso-wrap-distance-left:0;mso-wrap-distance-top:0;mso-wrap-distance-right:0;mso-wrap-distance-bottom: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" filled="f" stroked="f">
                <v:textbox inset="0,0,0,0">
                  <w:txbxContent>
                    <w:p w14:paraId="24320D06" w14:textId="77777777" w:rsidR="0093121C" w:rsidRDefault="00FF2FC9">
                      <w:pPr>
                        <w:pStyle w:val="1"/>
                        <w:spacing w:line="240" w:lineRule="auto"/>
                        <w:ind w:firstLine="0"/>
                        <w:jc w:val="center"/>
                      </w:pPr>
                      <w:r>
                        <w:rPr>
                          <w:rStyle w:val="a3"/>
                        </w:rPr>
                        <w:t>ее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F28B79" w14:textId="77777777" w:rsidR="0093121C" w:rsidRDefault="00FF2FC9">
      <w:pPr>
        <w:pStyle w:val="1"/>
        <w:ind w:firstLine="0"/>
        <w:jc w:val="both"/>
      </w:pPr>
      <w:r>
        <w:rPr>
          <w:rStyle w:val="a3"/>
        </w:rPr>
        <w:t>компенсационного фонда.</w:t>
      </w:r>
    </w:p>
    <w:p w14:paraId="08DD5E67" w14:textId="77777777" w:rsidR="0093121C" w:rsidRDefault="00FF2FC9">
      <w:pPr>
        <w:pStyle w:val="1"/>
        <w:numPr>
          <w:ilvl w:val="1"/>
          <w:numId w:val="1"/>
        </w:numPr>
        <w:tabs>
          <w:tab w:val="left" w:pos="1428"/>
        </w:tabs>
        <w:ind w:firstLine="720"/>
        <w:jc w:val="both"/>
      </w:pPr>
      <w:r>
        <w:rPr>
          <w:rStyle w:val="a3"/>
        </w:rPr>
        <w:t>Расходование компенсационного фонда Союза на цели, не предусмотренные Законом о банкротстве и настоящим Положением, в том числе на выплату или возврат взносов членам Союза, не допускается.</w:t>
      </w:r>
    </w:p>
    <w:p w14:paraId="2F7B46CC" w14:textId="77777777" w:rsidR="0093121C" w:rsidRDefault="00FF2FC9">
      <w:pPr>
        <w:pStyle w:val="1"/>
        <w:numPr>
          <w:ilvl w:val="1"/>
          <w:numId w:val="1"/>
        </w:numPr>
        <w:tabs>
          <w:tab w:val="left" w:pos="1428"/>
        </w:tabs>
        <w:ind w:firstLine="720"/>
        <w:jc w:val="both"/>
      </w:pPr>
      <w:r>
        <w:rPr>
          <w:rStyle w:val="a3"/>
        </w:rPr>
        <w:t>Союз в установленном Правительством РФ порядке уведомляет орган по контролю (надзору) о размере компенсационного фонда.</w:t>
      </w:r>
    </w:p>
    <w:p w14:paraId="2757CE7C" w14:textId="77777777" w:rsidR="0093121C" w:rsidRDefault="00FF2FC9">
      <w:pPr>
        <w:pStyle w:val="1"/>
        <w:numPr>
          <w:ilvl w:val="1"/>
          <w:numId w:val="1"/>
        </w:numPr>
        <w:tabs>
          <w:tab w:val="left" w:pos="1428"/>
        </w:tabs>
        <w:spacing w:after="480"/>
        <w:ind w:firstLine="720"/>
        <w:jc w:val="both"/>
      </w:pPr>
      <w:r>
        <w:rPr>
          <w:rStyle w:val="a3"/>
        </w:rPr>
        <w:t>При ликвидации Союза внесенный членом Союза взнос в компенсационный фонд направляется члену Союза в соответствии с пунктом 13.4. Устава Союза.</w:t>
      </w:r>
    </w:p>
    <w:p w14:paraId="6E9944BC" w14:textId="77777777" w:rsidR="0093121C" w:rsidRPr="00456505" w:rsidRDefault="00FF2FC9">
      <w:pPr>
        <w:pStyle w:val="1"/>
        <w:numPr>
          <w:ilvl w:val="0"/>
          <w:numId w:val="1"/>
        </w:numPr>
        <w:tabs>
          <w:tab w:val="left" w:pos="370"/>
        </w:tabs>
        <w:spacing w:after="480"/>
        <w:ind w:firstLine="0"/>
        <w:jc w:val="center"/>
        <w:rPr>
          <w:b/>
          <w:bCs/>
        </w:rPr>
      </w:pPr>
      <w:r w:rsidRPr="00456505">
        <w:rPr>
          <w:rStyle w:val="a3"/>
          <w:b/>
          <w:bCs/>
        </w:rPr>
        <w:t>Порядок формирования, размещения и расходования</w:t>
      </w:r>
      <w:r w:rsidRPr="00456505">
        <w:rPr>
          <w:rStyle w:val="a3"/>
          <w:b/>
          <w:bCs/>
        </w:rPr>
        <w:br/>
        <w:t>компенсационного фонда</w:t>
      </w:r>
    </w:p>
    <w:p w14:paraId="08EECA66" w14:textId="77777777" w:rsidR="0093121C" w:rsidRDefault="00FF2FC9">
      <w:pPr>
        <w:pStyle w:val="1"/>
        <w:numPr>
          <w:ilvl w:val="1"/>
          <w:numId w:val="1"/>
        </w:numPr>
        <w:tabs>
          <w:tab w:val="left" w:pos="1428"/>
        </w:tabs>
        <w:ind w:firstLine="720"/>
        <w:jc w:val="both"/>
      </w:pPr>
      <w:r>
        <w:rPr>
          <w:rStyle w:val="a3"/>
        </w:rPr>
        <w:t>Компенсационный фонд первоначально формируется только в денежной форме за счет членских взносов членов Союза в размере не менее чем три миллиона рублей на каждого ее члена.</w:t>
      </w:r>
    </w:p>
    <w:p w14:paraId="4BD76653" w14:textId="77777777" w:rsidR="0093121C" w:rsidRDefault="00FF2FC9">
      <w:pPr>
        <w:pStyle w:val="1"/>
        <w:numPr>
          <w:ilvl w:val="1"/>
          <w:numId w:val="1"/>
        </w:numPr>
        <w:tabs>
          <w:tab w:val="left" w:pos="1428"/>
        </w:tabs>
        <w:ind w:firstLine="720"/>
        <w:jc w:val="both"/>
      </w:pPr>
      <w:r>
        <w:rPr>
          <w:rStyle w:val="a3"/>
        </w:rPr>
        <w:t>В целях сохранения и увеличения размера компенсационного фонда саморегулируемой организации операторов электронных площадок средства ее компенсационного фонда размещаются на специальных счетах в российских кредитных организациях. В случае необходимости осуществления компенсационных выплат из компенсационного фонда этой саморегулируемой организации срок возврата средств компенсационного фонда с указанного счета не должен превышать десять рабочих дней.</w:t>
      </w:r>
    </w:p>
    <w:p w14:paraId="5ECB3248" w14:textId="26A77C96" w:rsidR="0093121C" w:rsidRDefault="00FF2FC9" w:rsidP="00456505">
      <w:pPr>
        <w:pStyle w:val="1"/>
        <w:numPr>
          <w:ilvl w:val="1"/>
          <w:numId w:val="1"/>
        </w:numPr>
        <w:tabs>
          <w:tab w:val="left" w:pos="1428"/>
        </w:tabs>
        <w:spacing w:after="480" w:line="382" w:lineRule="auto"/>
        <w:ind w:firstLine="0"/>
        <w:jc w:val="both"/>
      </w:pPr>
      <w:r>
        <w:rPr>
          <w:rStyle w:val="a3"/>
        </w:rPr>
        <w:t>Доход, полученный от размещения средств компенсационного фонда Союза, направляется на его пополнение, покрытие расходов, связанных с размещением средств компенсационного фонда, уплату налогов</w:t>
      </w:r>
      <w:r w:rsidR="00456505">
        <w:rPr>
          <w:rStyle w:val="a3"/>
        </w:rPr>
        <w:t xml:space="preserve"> </w:t>
      </w:r>
      <w:r>
        <w:rPr>
          <w:rStyle w:val="a3"/>
        </w:rPr>
        <w:t>и иных обязательных платежей, обязанность по уплате которых возникает в связи с получением дохода от размещения средств компенсационного фонда.</w:t>
      </w:r>
    </w:p>
    <w:p w14:paraId="3454E958" w14:textId="77777777" w:rsidR="0093121C" w:rsidRDefault="00FF2FC9">
      <w:pPr>
        <w:pStyle w:val="1"/>
        <w:numPr>
          <w:ilvl w:val="1"/>
          <w:numId w:val="1"/>
        </w:numPr>
        <w:tabs>
          <w:tab w:val="left" w:pos="1426"/>
        </w:tabs>
        <w:spacing w:line="382" w:lineRule="auto"/>
        <w:ind w:firstLine="720"/>
        <w:jc w:val="both"/>
      </w:pPr>
      <w:r>
        <w:rPr>
          <w:rStyle w:val="a3"/>
        </w:rPr>
        <w:lastRenderedPageBreak/>
        <w:t>Требование о компенсационной выплате из компенсационного фонда Союза может быть предъявлено к Союзу в случае, если на дату совершения оператором электронной площадки действий или бездействия, повлекших за собой причинение убытков третьим лицам при проведении торгов в электронной форме в связи с неисполнением или ненадлежащим исполнением оператором электронной площадки требований, установленных законодательством Российской Федерации, стандартами и правилами профессиональной деятельности операторов электронных площадок, оператор электронной площадки был членом Союза.</w:t>
      </w:r>
    </w:p>
    <w:p w14:paraId="3888B21B" w14:textId="77777777" w:rsidR="0093121C" w:rsidRDefault="00FF2FC9">
      <w:pPr>
        <w:pStyle w:val="1"/>
        <w:numPr>
          <w:ilvl w:val="1"/>
          <w:numId w:val="1"/>
        </w:numPr>
        <w:tabs>
          <w:tab w:val="left" w:pos="1426"/>
        </w:tabs>
        <w:spacing w:line="382" w:lineRule="auto"/>
        <w:ind w:firstLine="720"/>
        <w:jc w:val="both"/>
      </w:pPr>
      <w:r>
        <w:rPr>
          <w:rStyle w:val="a3"/>
        </w:rPr>
        <w:t>Требование о компенсационной выплате из компенсационного фонда Союза может быть предъявлено к Союзу лицом, в пользу которого принято решение о взыскании убытков, только при одновременном наличии следующих условий:</w:t>
      </w:r>
    </w:p>
    <w:p w14:paraId="6F25872E" w14:textId="77777777" w:rsidR="0093121C" w:rsidRDefault="00FF2FC9">
      <w:pPr>
        <w:pStyle w:val="1"/>
        <w:numPr>
          <w:ilvl w:val="0"/>
          <w:numId w:val="2"/>
        </w:numPr>
        <w:tabs>
          <w:tab w:val="left" w:pos="1117"/>
        </w:tabs>
        <w:spacing w:line="382" w:lineRule="auto"/>
        <w:ind w:firstLine="720"/>
        <w:jc w:val="both"/>
      </w:pPr>
      <w:r>
        <w:rPr>
          <w:rStyle w:val="a3"/>
        </w:rPr>
        <w:t>недостаточность средств, полученных таким лицом по договору обязательного страхования ответственности оператора электронной площадки, для возмещения причиненных такому лицу убытков;</w:t>
      </w:r>
    </w:p>
    <w:p w14:paraId="0DBFD398" w14:textId="77777777" w:rsidR="0093121C" w:rsidRDefault="00FF2FC9">
      <w:pPr>
        <w:pStyle w:val="1"/>
        <w:numPr>
          <w:ilvl w:val="0"/>
          <w:numId w:val="2"/>
        </w:numPr>
        <w:tabs>
          <w:tab w:val="left" w:pos="1117"/>
        </w:tabs>
        <w:spacing w:line="382" w:lineRule="auto"/>
        <w:ind w:firstLine="720"/>
        <w:jc w:val="both"/>
      </w:pPr>
      <w:r>
        <w:rPr>
          <w:rStyle w:val="a3"/>
        </w:rPr>
        <w:t>отказ оператора электронной площадки удовлетворить требование такого лица или неудовлетворение оператором электронной площадки требования такого лица в течение тридцати рабочих дней с даты получения указанного требования.</w:t>
      </w:r>
    </w:p>
    <w:p w14:paraId="132526A5" w14:textId="77777777" w:rsidR="0093121C" w:rsidRDefault="00FF2FC9">
      <w:pPr>
        <w:pStyle w:val="1"/>
        <w:numPr>
          <w:ilvl w:val="1"/>
          <w:numId w:val="1"/>
        </w:numPr>
        <w:tabs>
          <w:tab w:val="left" w:pos="1426"/>
        </w:tabs>
        <w:spacing w:line="382" w:lineRule="auto"/>
        <w:ind w:firstLine="720"/>
        <w:jc w:val="both"/>
      </w:pPr>
      <w:r>
        <w:rPr>
          <w:rStyle w:val="a3"/>
        </w:rPr>
        <w:t>К требованию о компенсационной выплате из компенсационного фонда Союза должны быть приложены:</w:t>
      </w:r>
    </w:p>
    <w:p w14:paraId="134832CE" w14:textId="77777777" w:rsidR="0093121C" w:rsidRDefault="00FF2FC9">
      <w:pPr>
        <w:pStyle w:val="1"/>
        <w:numPr>
          <w:ilvl w:val="0"/>
          <w:numId w:val="3"/>
        </w:numPr>
        <w:tabs>
          <w:tab w:val="left" w:pos="1117"/>
        </w:tabs>
        <w:spacing w:line="382" w:lineRule="auto"/>
        <w:ind w:firstLine="720"/>
        <w:jc w:val="both"/>
      </w:pPr>
      <w:r>
        <w:rPr>
          <w:rStyle w:val="a3"/>
        </w:rPr>
        <w:t>решение суда о взыскании с оператора электронной площадки убытков в определенном размере;</w:t>
      </w:r>
    </w:p>
    <w:p w14:paraId="53D1B86A" w14:textId="77777777" w:rsidR="0093121C" w:rsidRDefault="00FF2FC9">
      <w:pPr>
        <w:pStyle w:val="1"/>
        <w:numPr>
          <w:ilvl w:val="0"/>
          <w:numId w:val="3"/>
        </w:numPr>
        <w:tabs>
          <w:tab w:val="left" w:pos="1843"/>
        </w:tabs>
        <w:spacing w:line="382" w:lineRule="auto"/>
        <w:ind w:firstLine="720"/>
        <w:jc w:val="both"/>
      </w:pPr>
      <w:r>
        <w:rPr>
          <w:rStyle w:val="a3"/>
        </w:rPr>
        <w:t>документы, подтверждающие осуществление страховой</w:t>
      </w:r>
    </w:p>
    <w:p w14:paraId="2F9CA176" w14:textId="77777777" w:rsidR="0093121C" w:rsidRDefault="00FF2FC9">
      <w:pPr>
        <w:pStyle w:val="1"/>
        <w:spacing w:line="240" w:lineRule="auto"/>
        <w:ind w:firstLine="0"/>
        <w:jc w:val="both"/>
      </w:pPr>
      <w:r>
        <w:rPr>
          <w:rStyle w:val="a3"/>
        </w:rPr>
        <w:t>организацией страховой выплаты по договору обязательного страхования</w:t>
      </w:r>
    </w:p>
    <w:p w14:paraId="26EAF560" w14:textId="77777777" w:rsidR="0093121C" w:rsidRDefault="00FF2FC9">
      <w:pPr>
        <w:pStyle w:val="1"/>
        <w:spacing w:line="384" w:lineRule="auto"/>
        <w:ind w:firstLine="0"/>
        <w:jc w:val="both"/>
      </w:pPr>
      <w:r>
        <w:rPr>
          <w:rStyle w:val="a3"/>
        </w:rPr>
        <w:t>ответственности оператора электронной площадки и размер осуществленной страховой выплаты;</w:t>
      </w:r>
    </w:p>
    <w:p w14:paraId="1ED41E9F" w14:textId="77777777" w:rsidR="0093121C" w:rsidRDefault="00FF2FC9">
      <w:pPr>
        <w:pStyle w:val="1"/>
        <w:numPr>
          <w:ilvl w:val="0"/>
          <w:numId w:val="3"/>
        </w:numPr>
        <w:tabs>
          <w:tab w:val="left" w:pos="1122"/>
        </w:tabs>
        <w:ind w:firstLine="720"/>
        <w:jc w:val="both"/>
      </w:pPr>
      <w:r>
        <w:rPr>
          <w:rStyle w:val="a3"/>
        </w:rPr>
        <w:t xml:space="preserve">документ, подтверждающий отказ оператора электронной площадки </w:t>
      </w:r>
      <w:r>
        <w:rPr>
          <w:rStyle w:val="a3"/>
        </w:rPr>
        <w:lastRenderedPageBreak/>
        <w:t>от удовлетворения указанного требования, или документ, подтверждающий направление оператору электронной площадки указанного требования, не удовлетворенного им в течение тридцати рабочих дней с даты его получения.</w:t>
      </w:r>
    </w:p>
    <w:p w14:paraId="4AA77CD2" w14:textId="77777777" w:rsidR="0093121C" w:rsidRDefault="00FF2FC9">
      <w:pPr>
        <w:pStyle w:val="1"/>
        <w:numPr>
          <w:ilvl w:val="1"/>
          <w:numId w:val="1"/>
        </w:numPr>
        <w:tabs>
          <w:tab w:val="left" w:pos="1426"/>
        </w:tabs>
        <w:ind w:firstLine="720"/>
        <w:jc w:val="both"/>
      </w:pPr>
      <w:r>
        <w:rPr>
          <w:rStyle w:val="a3"/>
        </w:rPr>
        <w:t>Союз обязан осуществить компенсационную выплату в течение шестидесяти рабочих дней с даты получения соответствующего требования или выдать лицу, обратившемуся с требованием о компенсационной выплате, мотивированный отказ в ее выплате.</w:t>
      </w:r>
    </w:p>
    <w:p w14:paraId="166C73EF" w14:textId="77777777" w:rsidR="0093121C" w:rsidRDefault="00FF2FC9">
      <w:pPr>
        <w:pStyle w:val="1"/>
        <w:numPr>
          <w:ilvl w:val="1"/>
          <w:numId w:val="1"/>
        </w:numPr>
        <w:tabs>
          <w:tab w:val="left" w:pos="1426"/>
        </w:tabs>
        <w:ind w:firstLine="720"/>
        <w:jc w:val="both"/>
      </w:pPr>
      <w:r>
        <w:rPr>
          <w:rStyle w:val="a3"/>
        </w:rPr>
        <w:t>Союз вправе отказать в компенсационной выплате лицу, обратившемуся с требованием о компенсационной выплате, по следующим основаниям:</w:t>
      </w:r>
    </w:p>
    <w:p w14:paraId="59A86406" w14:textId="77777777" w:rsidR="0093121C" w:rsidRDefault="00FF2FC9">
      <w:pPr>
        <w:pStyle w:val="1"/>
        <w:numPr>
          <w:ilvl w:val="0"/>
          <w:numId w:val="4"/>
        </w:numPr>
        <w:tabs>
          <w:tab w:val="left" w:pos="1122"/>
        </w:tabs>
        <w:ind w:firstLine="720"/>
        <w:jc w:val="both"/>
      </w:pPr>
      <w:r>
        <w:rPr>
          <w:rStyle w:val="a3"/>
        </w:rPr>
        <w:t>убытки возмещены в полном размере за счет страховых выплат по договору обязательного страхования ответственности оператора электронной площадки или за счет оператора электронной площадки;</w:t>
      </w:r>
    </w:p>
    <w:p w14:paraId="2C122FF8" w14:textId="77777777" w:rsidR="0093121C" w:rsidRDefault="00FF2FC9">
      <w:pPr>
        <w:pStyle w:val="1"/>
        <w:numPr>
          <w:ilvl w:val="0"/>
          <w:numId w:val="4"/>
        </w:numPr>
        <w:tabs>
          <w:tab w:val="left" w:pos="1117"/>
        </w:tabs>
        <w:ind w:firstLine="720"/>
        <w:jc w:val="both"/>
      </w:pPr>
      <w:r>
        <w:rPr>
          <w:rStyle w:val="a3"/>
        </w:rPr>
        <w:t>оператор электронной площадки не являлся членом этой саморегулируемой организации на дату совершения действий или бездействия, повлекших за собой причинение убытков третьим лицам при проведении торгов в электронной форме;</w:t>
      </w:r>
    </w:p>
    <w:p w14:paraId="50C70540" w14:textId="77777777" w:rsidR="0093121C" w:rsidRDefault="00FF2FC9">
      <w:pPr>
        <w:pStyle w:val="1"/>
        <w:numPr>
          <w:ilvl w:val="0"/>
          <w:numId w:val="4"/>
        </w:numPr>
        <w:tabs>
          <w:tab w:val="left" w:pos="1122"/>
        </w:tabs>
        <w:ind w:firstLine="720"/>
        <w:jc w:val="both"/>
      </w:pPr>
      <w:r>
        <w:rPr>
          <w:rStyle w:val="a3"/>
        </w:rPr>
        <w:t>документы, установленные Законом о банкротстве и настоящим Положением, не приложены к требованию о компенсационной выплате.</w:t>
      </w:r>
    </w:p>
    <w:p w14:paraId="7E213F03" w14:textId="77777777" w:rsidR="0093121C" w:rsidRDefault="00FF2FC9">
      <w:pPr>
        <w:pStyle w:val="1"/>
        <w:ind w:firstLine="720"/>
        <w:jc w:val="both"/>
      </w:pPr>
      <w:r>
        <w:rPr>
          <w:rStyle w:val="a3"/>
        </w:rPr>
        <w:t>2.9 Компенсационная выплата в денежной форме направляется на счет, указанный в требовании о компенсационной выплате.</w:t>
      </w:r>
    </w:p>
    <w:p w14:paraId="5C7B6354" w14:textId="77777777" w:rsidR="0093121C" w:rsidRDefault="00FF2FC9">
      <w:pPr>
        <w:pStyle w:val="1"/>
        <w:ind w:firstLine="720"/>
        <w:jc w:val="both"/>
      </w:pPr>
      <w:r>
        <w:rPr>
          <w:rStyle w:val="a3"/>
        </w:rPr>
        <w:t>Размер компенсационной выплаты из компенсационного фонда Союза</w:t>
      </w:r>
    </w:p>
    <w:p w14:paraId="049E767E" w14:textId="02635745" w:rsidR="0093121C" w:rsidRDefault="00FF2FC9">
      <w:pPr>
        <w:pStyle w:val="1"/>
        <w:ind w:firstLine="0"/>
        <w:jc w:val="both"/>
        <w:rPr>
          <w:rStyle w:val="a3"/>
        </w:rPr>
      </w:pPr>
      <w:r>
        <w:rPr>
          <w:rStyle w:val="a3"/>
        </w:rPr>
        <w:t>по требованию о компенсационной выплате применительно к одному случаю причинения убытков в отношении одного оператора электронной площадки не может превышать пять миллионов рублей.</w:t>
      </w:r>
    </w:p>
    <w:p w14:paraId="38179E33" w14:textId="12665373" w:rsidR="00456505" w:rsidRDefault="00456505">
      <w:pPr>
        <w:pStyle w:val="1"/>
        <w:ind w:firstLine="0"/>
        <w:jc w:val="both"/>
        <w:rPr>
          <w:rStyle w:val="a3"/>
        </w:rPr>
      </w:pPr>
    </w:p>
    <w:p w14:paraId="7A9C25D6" w14:textId="53647262" w:rsidR="00456505" w:rsidRDefault="00456505">
      <w:pPr>
        <w:pStyle w:val="1"/>
        <w:ind w:firstLine="0"/>
        <w:jc w:val="both"/>
        <w:rPr>
          <w:rStyle w:val="a3"/>
        </w:rPr>
      </w:pPr>
    </w:p>
    <w:p w14:paraId="4F850C51" w14:textId="3E365CC9" w:rsidR="00456505" w:rsidRDefault="00456505">
      <w:pPr>
        <w:pStyle w:val="1"/>
        <w:ind w:firstLine="0"/>
        <w:jc w:val="both"/>
        <w:rPr>
          <w:rStyle w:val="a3"/>
        </w:rPr>
      </w:pPr>
    </w:p>
    <w:p w14:paraId="4692714C" w14:textId="77777777" w:rsidR="00456505" w:rsidRDefault="00456505">
      <w:pPr>
        <w:pStyle w:val="1"/>
        <w:ind w:firstLine="0"/>
        <w:jc w:val="both"/>
        <w:rPr>
          <w:rStyle w:val="a3"/>
        </w:rPr>
      </w:pPr>
    </w:p>
    <w:p w14:paraId="2301AC32" w14:textId="7B11481F" w:rsidR="00456505" w:rsidRDefault="00456505" w:rsidP="00456505">
      <w:pPr>
        <w:pStyle w:val="1"/>
        <w:numPr>
          <w:ilvl w:val="0"/>
          <w:numId w:val="1"/>
        </w:numPr>
        <w:ind w:firstLine="0"/>
        <w:jc w:val="center"/>
        <w:rPr>
          <w:b/>
          <w:bCs/>
        </w:rPr>
      </w:pPr>
      <w:r w:rsidRPr="00456505">
        <w:rPr>
          <w:b/>
          <w:bCs/>
        </w:rPr>
        <w:lastRenderedPageBreak/>
        <w:t>Членские и целевые взносы</w:t>
      </w:r>
    </w:p>
    <w:p w14:paraId="76A15885" w14:textId="35B8AD84" w:rsidR="00456505" w:rsidRPr="00456505" w:rsidRDefault="00456505" w:rsidP="00456505">
      <w:pPr>
        <w:pStyle w:val="1"/>
        <w:jc w:val="both"/>
      </w:pPr>
      <w:r w:rsidRPr="00456505">
        <w:t>3.1. Источниками формирования имущества Союза являются:</w:t>
      </w:r>
    </w:p>
    <w:p w14:paraId="26CDEBEA" w14:textId="77777777" w:rsidR="00456505" w:rsidRPr="00456505" w:rsidRDefault="00456505" w:rsidP="00456505">
      <w:pPr>
        <w:pStyle w:val="1"/>
        <w:jc w:val="both"/>
      </w:pPr>
      <w:r w:rsidRPr="00456505">
        <w:t>1) регулярные и единовременные поступления от членов Союза (вступительные, членские и целевые взносы);</w:t>
      </w:r>
    </w:p>
    <w:p w14:paraId="44E044C0" w14:textId="77777777" w:rsidR="00456505" w:rsidRPr="00456505" w:rsidRDefault="00456505" w:rsidP="00456505">
      <w:pPr>
        <w:pStyle w:val="1"/>
        <w:jc w:val="both"/>
      </w:pPr>
      <w:r w:rsidRPr="00456505">
        <w:t>2) добровольные имущественные взносы и пожертвования;</w:t>
      </w:r>
    </w:p>
    <w:p w14:paraId="6ABA644C" w14:textId="77777777" w:rsidR="00456505" w:rsidRPr="00456505" w:rsidRDefault="00456505" w:rsidP="00456505">
      <w:pPr>
        <w:pStyle w:val="1"/>
        <w:jc w:val="both"/>
      </w:pPr>
      <w:r w:rsidRPr="00456505">
        <w:t>3) средства, полученные от оказания услуг по предоставлению информации, раскрытие которой может осуществляться на платной основе;</w:t>
      </w:r>
    </w:p>
    <w:p w14:paraId="0BA69CB1" w14:textId="77777777" w:rsidR="00456505" w:rsidRPr="00456505" w:rsidRDefault="00456505" w:rsidP="00456505">
      <w:pPr>
        <w:pStyle w:val="1"/>
        <w:jc w:val="both"/>
      </w:pPr>
      <w:r w:rsidRPr="00456505">
        <w:t>4) средства, полученные от оказания образовательных услуг, связанных с предпринимательской деятельностью, коммерческими или профессиональными интересами членов Союза;</w:t>
      </w:r>
    </w:p>
    <w:p w14:paraId="11D5E70E" w14:textId="77777777" w:rsidR="00456505" w:rsidRPr="00456505" w:rsidRDefault="00456505" w:rsidP="00456505">
      <w:pPr>
        <w:pStyle w:val="1"/>
        <w:jc w:val="both"/>
      </w:pPr>
      <w:r w:rsidRPr="00456505">
        <w:t>5) средства, полученные от продажи информационных материалов, связанных с предпринимательской деятельностью, коммерческими или профессиональными интересами членов Союза;</w:t>
      </w:r>
    </w:p>
    <w:p w14:paraId="560DB2C4" w14:textId="77777777" w:rsidR="00456505" w:rsidRPr="00456505" w:rsidRDefault="00456505" w:rsidP="00456505">
      <w:pPr>
        <w:pStyle w:val="1"/>
        <w:jc w:val="both"/>
      </w:pPr>
      <w:r w:rsidRPr="00456505">
        <w:t>6) доходы, полученные от размещения денежных средств на банковских депозитах;</w:t>
      </w:r>
    </w:p>
    <w:p w14:paraId="668FE942" w14:textId="77777777" w:rsidR="00456505" w:rsidRPr="00456505" w:rsidRDefault="00456505" w:rsidP="00456505">
      <w:pPr>
        <w:pStyle w:val="1"/>
        <w:jc w:val="both"/>
      </w:pPr>
      <w:r w:rsidRPr="00456505">
        <w:t>7) другие не запрещенные законом источники.</w:t>
      </w:r>
    </w:p>
    <w:p w14:paraId="39F483EF" w14:textId="67AFE363" w:rsidR="00456505" w:rsidRPr="00456505" w:rsidRDefault="00456505" w:rsidP="00456505">
      <w:pPr>
        <w:pStyle w:val="1"/>
        <w:jc w:val="both"/>
      </w:pPr>
      <w:r>
        <w:t>3</w:t>
      </w:r>
      <w:r w:rsidRPr="00456505">
        <w:t>.2. Ведение бухгалтерского учета и финансовой (бухгалтерской) отчетности Союза подлежит обязательному аудиту.</w:t>
      </w:r>
    </w:p>
    <w:p w14:paraId="7476446F" w14:textId="36A15C6C" w:rsidR="00456505" w:rsidRPr="00456505" w:rsidRDefault="00456505" w:rsidP="00456505">
      <w:pPr>
        <w:pStyle w:val="1"/>
        <w:jc w:val="both"/>
      </w:pPr>
      <w:r>
        <w:t>3</w:t>
      </w:r>
      <w:r w:rsidRPr="00456505">
        <w:t>.3. В Союзе установлены следующие виды взносов:</w:t>
      </w:r>
    </w:p>
    <w:p w14:paraId="782C43A4" w14:textId="77777777" w:rsidR="00456505" w:rsidRPr="00456505" w:rsidRDefault="00456505" w:rsidP="00456505">
      <w:pPr>
        <w:pStyle w:val="1"/>
        <w:jc w:val="both"/>
      </w:pPr>
      <w:r w:rsidRPr="00456505">
        <w:t>- вступительный взнос;</w:t>
      </w:r>
    </w:p>
    <w:p w14:paraId="552BEB61" w14:textId="77777777" w:rsidR="00456505" w:rsidRPr="00456505" w:rsidRDefault="00456505" w:rsidP="00456505">
      <w:pPr>
        <w:pStyle w:val="1"/>
        <w:jc w:val="both"/>
      </w:pPr>
      <w:r w:rsidRPr="00456505">
        <w:t>- ежегодный членский взнос;</w:t>
      </w:r>
    </w:p>
    <w:p w14:paraId="10F1CB5F" w14:textId="77777777" w:rsidR="00456505" w:rsidRPr="00456505" w:rsidRDefault="00456505" w:rsidP="00456505">
      <w:pPr>
        <w:pStyle w:val="1"/>
        <w:jc w:val="both"/>
      </w:pPr>
      <w:r w:rsidRPr="00456505">
        <w:t>- взнос на формирование компенсационного фонда;</w:t>
      </w:r>
    </w:p>
    <w:p w14:paraId="2713BAE7" w14:textId="77777777" w:rsidR="00456505" w:rsidRPr="00456505" w:rsidRDefault="00456505" w:rsidP="00456505">
      <w:pPr>
        <w:pStyle w:val="1"/>
        <w:jc w:val="both"/>
      </w:pPr>
      <w:r w:rsidRPr="00456505">
        <w:t>- целевой взнос;</w:t>
      </w:r>
    </w:p>
    <w:p w14:paraId="3AF5FD05" w14:textId="6E1C053C" w:rsidR="00456505" w:rsidRPr="00456505" w:rsidRDefault="00456505" w:rsidP="00456505">
      <w:pPr>
        <w:pStyle w:val="1"/>
        <w:jc w:val="both"/>
      </w:pPr>
      <w:r>
        <w:t>3</w:t>
      </w:r>
      <w:r w:rsidRPr="00456505">
        <w:t>.4. Вступительные и ежегодные членские взносы используются на содержание аппарата Управления Союза и обеспечение деятельности, предусмотренной настоящим Уставом.</w:t>
      </w:r>
    </w:p>
    <w:p w14:paraId="09F87F23" w14:textId="12D9B70F" w:rsidR="00456505" w:rsidRPr="00456505" w:rsidRDefault="00456505" w:rsidP="00456505">
      <w:pPr>
        <w:pStyle w:val="1"/>
        <w:jc w:val="both"/>
      </w:pPr>
      <w:r>
        <w:t>3</w:t>
      </w:r>
      <w:r w:rsidRPr="00456505">
        <w:t xml:space="preserve">.5. Целевые взносы предназначены для финансирования тематических мероприятий и программ, проводимых Союзом и направленных на достижение целей, ради которых оно создано с учетом функций Союза, предусмотренных </w:t>
      </w:r>
      <w:r w:rsidRPr="00456505">
        <w:lastRenderedPageBreak/>
        <w:t>настоящим Уставом. Уплата целевых взносов осуществляется членами Союза, выразившими желание принять участие в проводимых Союзом целевых мероприятиях (программах), в порядке и размере, установленном решением общего собрания членов Союза.</w:t>
      </w:r>
    </w:p>
    <w:p w14:paraId="6108D375" w14:textId="20194F14" w:rsidR="00456505" w:rsidRDefault="00456505" w:rsidP="00456505">
      <w:pPr>
        <w:pStyle w:val="1"/>
        <w:ind w:firstLine="0"/>
        <w:jc w:val="both"/>
      </w:pPr>
      <w:r>
        <w:t>3</w:t>
      </w:r>
      <w:r w:rsidRPr="00456505">
        <w:t>.6. Члены Союза утрачивают право распоряжения имуществом, переданным в качестве взноса.</w:t>
      </w:r>
    </w:p>
    <w:p w14:paraId="1B7E6A8F" w14:textId="388CCCD3" w:rsidR="00456505" w:rsidRPr="00456505" w:rsidRDefault="00456505" w:rsidP="00456505">
      <w:pPr>
        <w:pStyle w:val="1"/>
        <w:ind w:firstLine="0"/>
        <w:jc w:val="both"/>
      </w:pPr>
      <w:r>
        <w:t xml:space="preserve">3.7 Информация о размере взносов подлежит публикованною на официальном сайте СРО СТЭП (Адрес в сети интернет: </w:t>
      </w:r>
      <w:proofErr w:type="spellStart"/>
      <w:r>
        <w:rPr>
          <w:lang w:val="en-US"/>
        </w:rPr>
        <w:t>souz</w:t>
      </w:r>
      <w:proofErr w:type="spellEnd"/>
      <w:r w:rsidRPr="00456505">
        <w:t>-</w:t>
      </w:r>
      <w:r>
        <w:rPr>
          <w:lang w:val="en-US"/>
        </w:rPr>
        <w:t>step</w:t>
      </w:r>
      <w:r w:rsidRPr="00456505">
        <w:t>.</w:t>
      </w:r>
      <w:r>
        <w:rPr>
          <w:lang w:val="en-US"/>
        </w:rPr>
        <w:t>com</w:t>
      </w:r>
      <w:r w:rsidRPr="00456505">
        <w:t>)</w:t>
      </w:r>
    </w:p>
    <w:sectPr w:rsidR="00456505" w:rsidRPr="00456505">
      <w:pgSz w:w="11900" w:h="16840"/>
      <w:pgMar w:top="1122" w:right="824" w:bottom="1146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C652E" w14:textId="77777777" w:rsidR="00E23FD8" w:rsidRDefault="00E23FD8">
      <w:r>
        <w:separator/>
      </w:r>
    </w:p>
  </w:endnote>
  <w:endnote w:type="continuationSeparator" w:id="0">
    <w:p w14:paraId="09BF99ED" w14:textId="77777777" w:rsidR="00E23FD8" w:rsidRDefault="00E2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6A0E6" w14:textId="77777777" w:rsidR="00E23FD8" w:rsidRDefault="00E23FD8"/>
  </w:footnote>
  <w:footnote w:type="continuationSeparator" w:id="0">
    <w:p w14:paraId="0357AC7E" w14:textId="77777777" w:rsidR="00E23FD8" w:rsidRDefault="00E23F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13FEB"/>
    <w:multiLevelType w:val="multilevel"/>
    <w:tmpl w:val="9AAAE5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E70FC7"/>
    <w:multiLevelType w:val="multilevel"/>
    <w:tmpl w:val="0F9C4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925AA8"/>
    <w:multiLevelType w:val="multilevel"/>
    <w:tmpl w:val="5BFC4F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E778A5"/>
    <w:multiLevelType w:val="multilevel"/>
    <w:tmpl w:val="3B3249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1C"/>
    <w:rsid w:val="00456505"/>
    <w:rsid w:val="007E5404"/>
    <w:rsid w:val="0093121C"/>
    <w:rsid w:val="00D671DE"/>
    <w:rsid w:val="00E23FD8"/>
    <w:rsid w:val="00FF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D33D"/>
  <w15:docId w15:val="{04C3837D-4B35-42CF-8E66-788DE66E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37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3380" w:line="379" w:lineRule="auto"/>
      <w:ind w:left="6760"/>
      <w:jc w:val="right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456505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56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компенсационном фонде.docx</vt:lpstr>
    </vt:vector>
  </TitlesOfParts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компенсационном фонде.docx</dc:title>
  <dc:subject/>
  <dc:creator/>
  <cp:keywords/>
  <cp:lastModifiedBy>Lenovo</cp:lastModifiedBy>
  <cp:revision>3</cp:revision>
  <cp:lastPrinted>2024-05-14T09:23:00Z</cp:lastPrinted>
  <dcterms:created xsi:type="dcterms:W3CDTF">2024-05-14T09:15:00Z</dcterms:created>
  <dcterms:modified xsi:type="dcterms:W3CDTF">2024-05-14T09:36:00Z</dcterms:modified>
</cp:coreProperties>
</file>